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0859" w14:textId="6F8E570D" w:rsidR="003F2D09" w:rsidRDefault="00B62C28" w:rsidP="00B81DBF">
      <w:pPr>
        <w:rPr>
          <w:rFonts w:ascii="Arial" w:hAnsi="Arial" w:cs="Arial"/>
        </w:rPr>
      </w:pPr>
      <w:r>
        <w:rPr>
          <w:rFonts w:ascii="Arial" w:hAnsi="Arial" w:cs="Arial"/>
        </w:rPr>
        <w:t>Use this worksheet to pr</w:t>
      </w:r>
      <w:r w:rsidR="009044D8">
        <w:rPr>
          <w:rFonts w:ascii="Arial" w:hAnsi="Arial" w:cs="Arial"/>
        </w:rPr>
        <w:t>opose rates for each service</w:t>
      </w:r>
      <w:r w:rsidR="00160A6D">
        <w:rPr>
          <w:rFonts w:ascii="Arial" w:hAnsi="Arial" w:cs="Arial"/>
        </w:rPr>
        <w:t xml:space="preserve"> or activity you offer</w:t>
      </w:r>
      <w:r w:rsidR="003F2D09">
        <w:rPr>
          <w:rFonts w:ascii="Arial" w:hAnsi="Arial" w:cs="Arial"/>
        </w:rPr>
        <w:t>.</w:t>
      </w:r>
      <w:r w:rsidR="00FF7DAE">
        <w:rPr>
          <w:rFonts w:ascii="Arial" w:hAnsi="Arial" w:cs="Arial"/>
        </w:rPr>
        <w:t xml:space="preserve"> If you do not offer a particular service </w:t>
      </w:r>
      <w:r w:rsidR="00B15019">
        <w:rPr>
          <w:rFonts w:ascii="Arial" w:hAnsi="Arial" w:cs="Arial"/>
        </w:rPr>
        <w:t xml:space="preserve">or </w:t>
      </w:r>
      <w:r w:rsidR="00BE5B4B">
        <w:rPr>
          <w:rFonts w:ascii="Arial" w:hAnsi="Arial" w:cs="Arial"/>
        </w:rPr>
        <w:t>activity,</w:t>
      </w:r>
      <w:r w:rsidR="00B15019">
        <w:rPr>
          <w:rFonts w:ascii="Arial" w:hAnsi="Arial" w:cs="Arial"/>
        </w:rPr>
        <w:t xml:space="preserve"> </w:t>
      </w:r>
      <w:r w:rsidR="00FF7DAE">
        <w:rPr>
          <w:rFonts w:ascii="Arial" w:hAnsi="Arial" w:cs="Arial"/>
        </w:rPr>
        <w:t xml:space="preserve">you may leave </w:t>
      </w:r>
      <w:r w:rsidR="00B15019">
        <w:rPr>
          <w:rFonts w:ascii="Arial" w:hAnsi="Arial" w:cs="Arial"/>
        </w:rPr>
        <w:t>the rate for that service blank.</w:t>
      </w:r>
      <w:r w:rsidR="00FF7DAE">
        <w:rPr>
          <w:rFonts w:ascii="Arial" w:hAnsi="Arial" w:cs="Arial"/>
        </w:rPr>
        <w:t xml:space="preserve"> </w:t>
      </w:r>
    </w:p>
    <w:p w14:paraId="391CF70D" w14:textId="0AAE54F5" w:rsidR="003F2D09" w:rsidRPr="00B823D8" w:rsidRDefault="00B81DBF" w:rsidP="00B81DBF">
      <w:pPr>
        <w:rPr>
          <w:rFonts w:ascii="Arial" w:hAnsi="Arial" w:cs="Arial"/>
        </w:rPr>
      </w:pPr>
      <w:r w:rsidRPr="00B823D8">
        <w:rPr>
          <w:rFonts w:ascii="Arial" w:hAnsi="Arial" w:cs="Arial"/>
        </w:rPr>
        <w:t>The Human Services Department does not pay contractors separately for travel expenses; therefore, contractors should include any cost of travel in their proposed rates.</w:t>
      </w:r>
    </w:p>
    <w:p w14:paraId="68031343" w14:textId="42AE7B45" w:rsidR="00B81DBF" w:rsidRDefault="00B81DBF" w:rsidP="00B81DBF">
      <w:pPr>
        <w:rPr>
          <w:rFonts w:ascii="Arial" w:hAnsi="Arial" w:cs="Arial"/>
        </w:rPr>
      </w:pPr>
      <w:r w:rsidRPr="00B81DB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tables below provide for variable rates for virtual sessions that do not require travel, as well as variable rates for consecutive (adjacent) in-person </w:t>
      </w:r>
      <w:r w:rsidR="00B823D8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 when travel expenses can be spread across multiple consecutive days of service. Contractors are encouraged to pass along </w:t>
      </w:r>
      <w:r w:rsidR="00B15019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cost savings to the public by using these variable rates.</w:t>
      </w:r>
    </w:p>
    <w:p w14:paraId="37171437" w14:textId="77777777" w:rsidR="00BE5B4B" w:rsidRDefault="00BE5B4B" w:rsidP="00B81DBF">
      <w:pPr>
        <w:rPr>
          <w:rFonts w:ascii="Arial" w:hAnsi="Arial" w:cs="Arial"/>
        </w:rPr>
      </w:pPr>
    </w:p>
    <w:p w14:paraId="49B9D536" w14:textId="284B1D43" w:rsidR="003A5988" w:rsidRDefault="003A5988" w:rsidP="003A59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Virtual </w:t>
      </w:r>
      <w:r w:rsidR="00575DF9">
        <w:rPr>
          <w:rFonts w:ascii="Arial" w:hAnsi="Arial" w:cs="Arial"/>
          <w:b/>
          <w:bCs/>
        </w:rPr>
        <w:t>Services</w:t>
      </w:r>
      <w:r>
        <w:rPr>
          <w:rFonts w:ascii="Arial" w:hAnsi="Arial" w:cs="Arial"/>
          <w:b/>
          <w:bCs/>
        </w:rPr>
        <w:br/>
        <w:t>(delivered through videoconferencing)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3A5988" w14:paraId="4DD5BA9C" w14:textId="77777777" w:rsidTr="00E56E30">
        <w:tc>
          <w:tcPr>
            <w:tcW w:w="7915" w:type="dxa"/>
            <w:shd w:val="clear" w:color="auto" w:fill="F2F2F2" w:themeFill="background1" w:themeFillShade="F2"/>
          </w:tcPr>
          <w:p w14:paraId="55335243" w14:textId="223D8A95" w:rsidR="003A5988" w:rsidRDefault="003A5988" w:rsidP="003A59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2CE7A5F0" w14:textId="32573182" w:rsidR="003A5988" w:rsidRDefault="003A5988" w:rsidP="00E56E3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3A5988" w:rsidRPr="003A5988" w14:paraId="3760534D" w14:textId="77777777" w:rsidTr="00C21B25">
        <w:tc>
          <w:tcPr>
            <w:tcW w:w="7915" w:type="dxa"/>
          </w:tcPr>
          <w:p w14:paraId="7F9A9683" w14:textId="77777777" w:rsidR="003A5988" w:rsidRPr="003A5988" w:rsidRDefault="003A5988" w:rsidP="003A5988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>Training/Facilitation – Brief Session</w:t>
            </w:r>
          </w:p>
          <w:p w14:paraId="271D8FE6" w14:textId="22478D8B" w:rsidR="003A5988" w:rsidRPr="003A5988" w:rsidRDefault="003A5988" w:rsidP="003A5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session, up to 2 hours duration</w:t>
            </w:r>
            <w:r w:rsidR="00504D9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including pre-planning meeting</w:t>
            </w:r>
            <w:r w:rsidR="00D44CF4">
              <w:rPr>
                <w:rFonts w:ascii="Arial" w:hAnsi="Arial" w:cs="Arial"/>
              </w:rPr>
              <w:t>s</w:t>
            </w:r>
            <w:r w:rsidR="00B81DBF">
              <w:rPr>
                <w:rFonts w:ascii="Arial" w:hAnsi="Arial" w:cs="Arial"/>
              </w:rPr>
              <w:t xml:space="preserve">, </w:t>
            </w:r>
            <w:r w:rsidR="003F2D09">
              <w:rPr>
                <w:rFonts w:ascii="Arial" w:hAnsi="Arial" w:cs="Arial"/>
              </w:rPr>
              <w:t xml:space="preserve">content development, </w:t>
            </w:r>
            <w:r w:rsidR="00B81DBF">
              <w:rPr>
                <w:rFonts w:ascii="Arial" w:hAnsi="Arial" w:cs="Arial"/>
              </w:rPr>
              <w:t>preparation time,</w:t>
            </w:r>
            <w:r>
              <w:rPr>
                <w:rFonts w:ascii="Arial" w:hAnsi="Arial" w:cs="Arial"/>
              </w:rPr>
              <w:t xml:space="preserve"> and follow-up call</w:t>
            </w:r>
            <w:r w:rsidR="00D44CF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35" w:type="dxa"/>
            <w:vAlign w:val="center"/>
          </w:tcPr>
          <w:p w14:paraId="34262B85" w14:textId="1EFBE3AF" w:rsidR="003A5988" w:rsidRPr="003A5988" w:rsidRDefault="00C21B25" w:rsidP="00E56E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21B25" w:rsidRPr="003A5988" w14:paraId="2CD11426" w14:textId="77777777" w:rsidTr="00C21B25">
        <w:tc>
          <w:tcPr>
            <w:tcW w:w="7915" w:type="dxa"/>
          </w:tcPr>
          <w:p w14:paraId="2D090696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>Training/Facilitation – Half-Day Session</w:t>
            </w:r>
          </w:p>
          <w:p w14:paraId="6E839790" w14:textId="7DB3B931" w:rsidR="00C21B25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session, up to 4 hours duration; including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495A6B3E" w14:textId="229F4E74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4C125EF6" w14:textId="77777777" w:rsidTr="00C21B25">
        <w:tc>
          <w:tcPr>
            <w:tcW w:w="7915" w:type="dxa"/>
          </w:tcPr>
          <w:p w14:paraId="47FC76D8" w14:textId="379988DC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 xml:space="preserve">Training/Facilitation – </w:t>
            </w:r>
            <w:r>
              <w:rPr>
                <w:rFonts w:ascii="Arial" w:hAnsi="Arial" w:cs="Arial"/>
                <w:b/>
                <w:bCs/>
              </w:rPr>
              <w:t>Full</w:t>
            </w:r>
            <w:r w:rsidRPr="003A5988">
              <w:rPr>
                <w:rFonts w:ascii="Arial" w:hAnsi="Arial" w:cs="Arial"/>
                <w:b/>
                <w:bCs/>
              </w:rPr>
              <w:t>-Day Session</w:t>
            </w:r>
          </w:p>
          <w:p w14:paraId="5883A6AE" w14:textId="72D48CA0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more than 4 hours duration; including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4D9E46E3" w14:textId="788D336A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57D15E41" w14:textId="77777777" w:rsidTr="00C21B25">
        <w:tc>
          <w:tcPr>
            <w:tcW w:w="7915" w:type="dxa"/>
          </w:tcPr>
          <w:p w14:paraId="3B5A915A" w14:textId="77777777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Keynote Speaker</w:t>
            </w:r>
          </w:p>
          <w:p w14:paraId="655D958C" w14:textId="70F1A91D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up to 90 minutes for up to 500 participants; including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523F0C8D" w14:textId="4DB3062A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0F7F7A54" w14:textId="77777777" w:rsidTr="00C21B25">
        <w:tc>
          <w:tcPr>
            <w:tcW w:w="7915" w:type="dxa"/>
          </w:tcPr>
          <w:p w14:paraId="00E5C01B" w14:textId="005A3D4F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– Individual</w:t>
            </w:r>
          </w:p>
          <w:p w14:paraId="3996E000" w14:textId="387E76BD" w:rsidR="00C21B25" w:rsidRPr="00132B02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6C1C29E0" w14:textId="22410DC1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19A7A2D4" w14:textId="77777777" w:rsidTr="00C21B25">
        <w:tc>
          <w:tcPr>
            <w:tcW w:w="7915" w:type="dxa"/>
          </w:tcPr>
          <w:p w14:paraId="7AE0BD1C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- Group</w:t>
            </w:r>
          </w:p>
          <w:p w14:paraId="6ED9F664" w14:textId="1AC3C845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3ACE5BE1" w14:textId="2939A77F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A2F0F07" w14:textId="77777777" w:rsidR="00BE5B4B" w:rsidRPr="003F2D09" w:rsidRDefault="00BE5B4B" w:rsidP="00504D9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973F938" w14:textId="6B7A57A3" w:rsidR="00504D96" w:rsidRDefault="00504D96" w:rsidP="00504D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In-Person </w:t>
      </w:r>
      <w:r w:rsidR="00575DF9">
        <w:rPr>
          <w:rFonts w:ascii="Arial" w:hAnsi="Arial" w:cs="Arial"/>
          <w:b/>
          <w:bCs/>
        </w:rPr>
        <w:t>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504D96" w14:paraId="5D06FA26" w14:textId="77777777" w:rsidTr="0046274B">
        <w:trPr>
          <w:tblHeader/>
        </w:trPr>
        <w:tc>
          <w:tcPr>
            <w:tcW w:w="7915" w:type="dxa"/>
            <w:shd w:val="clear" w:color="auto" w:fill="F2F2F2" w:themeFill="background1" w:themeFillShade="F2"/>
          </w:tcPr>
          <w:p w14:paraId="212CD115" w14:textId="77777777" w:rsidR="00504D96" w:rsidRDefault="00504D96" w:rsidP="002D2B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4F5DD025" w14:textId="77777777" w:rsidR="00504D96" w:rsidRDefault="00504D96" w:rsidP="00E56E3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C21B25" w:rsidRPr="003A5988" w14:paraId="1B8EF548" w14:textId="77777777" w:rsidTr="00C21B25">
        <w:tc>
          <w:tcPr>
            <w:tcW w:w="7915" w:type="dxa"/>
          </w:tcPr>
          <w:p w14:paraId="6FB7746B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>Training/Facilitation – Brief Session</w:t>
            </w:r>
          </w:p>
          <w:p w14:paraId="6BFA2D4C" w14:textId="223B8097" w:rsidR="00C21B25" w:rsidRPr="003A5988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session, up to 2 hours duration; including travel,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77A8A355" w14:textId="39838603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16B7CD07" w14:textId="77777777" w:rsidTr="00C21B25">
        <w:tc>
          <w:tcPr>
            <w:tcW w:w="7915" w:type="dxa"/>
          </w:tcPr>
          <w:p w14:paraId="5664994E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lastRenderedPageBreak/>
              <w:t>Training/Facilitation – Half-Day Session</w:t>
            </w:r>
          </w:p>
          <w:p w14:paraId="6C5A307B" w14:textId="269EA5A6" w:rsidR="00C21B25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session, up to 4 hours duration; including travel,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5B02D525" w14:textId="6849FE25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1EAFDED7" w14:textId="77777777" w:rsidTr="00C21B25">
        <w:tc>
          <w:tcPr>
            <w:tcW w:w="7915" w:type="dxa"/>
          </w:tcPr>
          <w:p w14:paraId="24413E31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 xml:space="preserve">Training/Facilitation – </w:t>
            </w:r>
            <w:r>
              <w:rPr>
                <w:rFonts w:ascii="Arial" w:hAnsi="Arial" w:cs="Arial"/>
                <w:b/>
                <w:bCs/>
              </w:rPr>
              <w:t>Full</w:t>
            </w:r>
            <w:r w:rsidRPr="003A5988">
              <w:rPr>
                <w:rFonts w:ascii="Arial" w:hAnsi="Arial" w:cs="Arial"/>
                <w:b/>
                <w:bCs/>
              </w:rPr>
              <w:t>-Day Session</w:t>
            </w:r>
          </w:p>
          <w:p w14:paraId="75FB9D90" w14:textId="0A5A649E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more than 4 hours duration; including travel,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50D88D41" w14:textId="448550A0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3B708CF2" w14:textId="77777777" w:rsidTr="00C21B25">
        <w:tc>
          <w:tcPr>
            <w:tcW w:w="7915" w:type="dxa"/>
          </w:tcPr>
          <w:p w14:paraId="01275793" w14:textId="566592D6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 xml:space="preserve">Training/Facilitation – </w:t>
            </w:r>
            <w:r>
              <w:rPr>
                <w:rFonts w:ascii="Arial" w:hAnsi="Arial" w:cs="Arial"/>
                <w:b/>
                <w:bCs/>
              </w:rPr>
              <w:t>Full</w:t>
            </w:r>
            <w:r w:rsidRPr="003A5988">
              <w:rPr>
                <w:rFonts w:ascii="Arial" w:hAnsi="Arial" w:cs="Arial"/>
                <w:b/>
                <w:bCs/>
              </w:rPr>
              <w:t>-Day Sessio</w:t>
            </w:r>
            <w:r>
              <w:rPr>
                <w:rFonts w:ascii="Arial" w:hAnsi="Arial" w:cs="Arial"/>
                <w:b/>
                <w:bCs/>
              </w:rPr>
              <w:t>n (if two consecutive days)</w:t>
            </w:r>
          </w:p>
          <w:p w14:paraId="5D574578" w14:textId="631BFB0D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more than 4 hours duration; including travel, pre-planning meetings, content development, preparation time and follow-up calls)</w:t>
            </w:r>
          </w:p>
        </w:tc>
        <w:tc>
          <w:tcPr>
            <w:tcW w:w="1435" w:type="dxa"/>
            <w:vAlign w:val="center"/>
          </w:tcPr>
          <w:p w14:paraId="7810E6BB" w14:textId="4F1B45D6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16C7A3AD" w14:textId="77777777" w:rsidTr="00C21B25">
        <w:tc>
          <w:tcPr>
            <w:tcW w:w="7915" w:type="dxa"/>
          </w:tcPr>
          <w:p w14:paraId="1A5988FA" w14:textId="5795CD44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 w:rsidRPr="003A5988">
              <w:rPr>
                <w:rFonts w:ascii="Arial" w:hAnsi="Arial" w:cs="Arial"/>
                <w:b/>
                <w:bCs/>
              </w:rPr>
              <w:t xml:space="preserve">Training/Facilitation – </w:t>
            </w:r>
            <w:r>
              <w:rPr>
                <w:rFonts w:ascii="Arial" w:hAnsi="Arial" w:cs="Arial"/>
                <w:b/>
                <w:bCs/>
              </w:rPr>
              <w:t>Full</w:t>
            </w:r>
            <w:r w:rsidRPr="003A5988">
              <w:rPr>
                <w:rFonts w:ascii="Arial" w:hAnsi="Arial" w:cs="Arial"/>
                <w:b/>
                <w:bCs/>
              </w:rPr>
              <w:t>-Day Session</w:t>
            </w:r>
            <w:r>
              <w:rPr>
                <w:rFonts w:ascii="Arial" w:hAnsi="Arial" w:cs="Arial"/>
                <w:b/>
                <w:bCs/>
              </w:rPr>
              <w:t xml:space="preserve"> (if three consecutive days)</w:t>
            </w:r>
          </w:p>
          <w:p w14:paraId="77E89DE8" w14:textId="42586B2A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more than 4 hours duration; including travel, pre-planning meetings, content development, preparation time and follow-up calls)</w:t>
            </w:r>
          </w:p>
        </w:tc>
        <w:tc>
          <w:tcPr>
            <w:tcW w:w="1435" w:type="dxa"/>
            <w:vAlign w:val="center"/>
          </w:tcPr>
          <w:p w14:paraId="31FECB3D" w14:textId="28D025EC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005724CF" w14:textId="77777777" w:rsidTr="00C21B25">
        <w:tc>
          <w:tcPr>
            <w:tcW w:w="7915" w:type="dxa"/>
          </w:tcPr>
          <w:p w14:paraId="620B060A" w14:textId="77777777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Keynote Speaker</w:t>
            </w:r>
          </w:p>
          <w:p w14:paraId="072D0AD7" w14:textId="0BB89DD8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session, up to 90 minutes for up to 500 participants; including pre-planning meetings, content development, preparation time, and follow-up calls)</w:t>
            </w:r>
          </w:p>
        </w:tc>
        <w:tc>
          <w:tcPr>
            <w:tcW w:w="1435" w:type="dxa"/>
            <w:vAlign w:val="center"/>
          </w:tcPr>
          <w:p w14:paraId="66059CA4" w14:textId="673604A5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13A4D022" w14:textId="77777777" w:rsidTr="00C21B25">
        <w:tc>
          <w:tcPr>
            <w:tcW w:w="7915" w:type="dxa"/>
          </w:tcPr>
          <w:p w14:paraId="6EECEE91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- Individual</w:t>
            </w:r>
          </w:p>
          <w:p w14:paraId="12892604" w14:textId="77777777" w:rsidR="00C21B25" w:rsidRPr="003A5988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32842C50" w14:textId="554ADBCA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7DE04DA2" w14:textId="77777777" w:rsidTr="00C21B25">
        <w:trPr>
          <w:trHeight w:val="503"/>
        </w:trPr>
        <w:tc>
          <w:tcPr>
            <w:tcW w:w="7915" w:type="dxa"/>
          </w:tcPr>
          <w:p w14:paraId="34D15E60" w14:textId="7777777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- Group</w:t>
            </w:r>
          </w:p>
          <w:p w14:paraId="5F1E614A" w14:textId="77777777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2B873A9C" w14:textId="1FEDDBF6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540E5BFC" w14:textId="77777777" w:rsidTr="00C21B25">
        <w:tc>
          <w:tcPr>
            <w:tcW w:w="7915" w:type="dxa"/>
          </w:tcPr>
          <w:p w14:paraId="1483F811" w14:textId="7AAC73C1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– Individual – adjacent to in-person session</w:t>
            </w:r>
          </w:p>
          <w:p w14:paraId="25D0655E" w14:textId="77777777" w:rsidR="00C21B25" w:rsidRPr="003A5988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46CD7BAC" w14:textId="422FEBEC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3DFBA3D2" w14:textId="77777777" w:rsidTr="00C21B25">
        <w:trPr>
          <w:trHeight w:val="503"/>
        </w:trPr>
        <w:tc>
          <w:tcPr>
            <w:tcW w:w="7915" w:type="dxa"/>
          </w:tcPr>
          <w:p w14:paraId="601281E2" w14:textId="74D3D3F7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Coaching/Consultation - Group – adjacent to in-person session</w:t>
            </w:r>
          </w:p>
          <w:p w14:paraId="000A0391" w14:textId="77777777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1B37927E" w14:textId="57C74807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C04AAFB" w14:textId="77777777" w:rsidR="00504D96" w:rsidRPr="00BE5B4B" w:rsidRDefault="00504D96" w:rsidP="00504D9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D21669C" w14:textId="6FAEA29D" w:rsidR="00B81DBF" w:rsidRPr="003A5988" w:rsidRDefault="00B81DBF" w:rsidP="00504D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B81DBF" w14:paraId="03B53081" w14:textId="77777777" w:rsidTr="00E56E30">
        <w:tc>
          <w:tcPr>
            <w:tcW w:w="7915" w:type="dxa"/>
            <w:shd w:val="clear" w:color="auto" w:fill="F2F2F2" w:themeFill="background1" w:themeFillShade="F2"/>
          </w:tcPr>
          <w:p w14:paraId="7836AD25" w14:textId="77777777" w:rsidR="00B81DBF" w:rsidRDefault="00B81DBF" w:rsidP="002D2B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49D5AE7" w14:textId="77777777" w:rsidR="00B81DBF" w:rsidRDefault="00B81DBF" w:rsidP="00E56E3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C21B25" w:rsidRPr="003A5988" w14:paraId="3153611C" w14:textId="77777777" w:rsidTr="00C21B25">
        <w:tc>
          <w:tcPr>
            <w:tcW w:w="7915" w:type="dxa"/>
          </w:tcPr>
          <w:p w14:paraId="6E8D9B2F" w14:textId="2000512D" w:rsidR="00C21B25" w:rsidRPr="003A5988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Planning or Follow-up Meetings (requires pre-approval)</w:t>
            </w:r>
          </w:p>
          <w:p w14:paraId="49874A17" w14:textId="1B3E4C3F" w:rsidR="00C21B25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66324379" w14:textId="14B53438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3D2BAAB9" w14:textId="77777777" w:rsidTr="00C21B25">
        <w:tc>
          <w:tcPr>
            <w:tcW w:w="7915" w:type="dxa"/>
          </w:tcPr>
          <w:p w14:paraId="714C75CD" w14:textId="2EF0B357" w:rsidR="00C21B25" w:rsidRDefault="00C21B25" w:rsidP="00C21B25">
            <w:pPr>
              <w:tabs>
                <w:tab w:val="left" w:pos="577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Curricula/Content Development (requires pre-approval)</w:t>
            </w:r>
          </w:p>
          <w:p w14:paraId="1D1E2C2A" w14:textId="2AE8F9CB" w:rsidR="00C21B25" w:rsidRPr="00E56E30" w:rsidRDefault="00C21B25" w:rsidP="00C21B25">
            <w:pPr>
              <w:tabs>
                <w:tab w:val="left" w:pos="57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29911051" w14:textId="19A191E8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48E22997" w14:textId="77777777" w:rsidTr="00C21B25">
        <w:tc>
          <w:tcPr>
            <w:tcW w:w="7915" w:type="dxa"/>
          </w:tcPr>
          <w:p w14:paraId="22440BAB" w14:textId="77777777" w:rsidR="00C21B25" w:rsidRDefault="00C21B25" w:rsidP="00C21B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E-Learning Development</w:t>
            </w:r>
          </w:p>
          <w:p w14:paraId="2160A8E1" w14:textId="30B8E68F" w:rsidR="00C21B25" w:rsidRPr="00E56E30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143B7AC9" w14:textId="7E376DB4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1B25" w:rsidRPr="003A5988" w14:paraId="3200C838" w14:textId="77777777" w:rsidTr="00C21B25">
        <w:tc>
          <w:tcPr>
            <w:tcW w:w="7915" w:type="dxa"/>
          </w:tcPr>
          <w:p w14:paraId="1246A264" w14:textId="77777777" w:rsidR="00C21B25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Organizational Assessment</w:t>
            </w:r>
          </w:p>
          <w:p w14:paraId="580D77DE" w14:textId="44125EAF" w:rsidR="00C21B25" w:rsidRPr="00D46F69" w:rsidRDefault="00C21B25" w:rsidP="00C2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(cost per hour)</w:t>
            </w:r>
          </w:p>
        </w:tc>
        <w:tc>
          <w:tcPr>
            <w:tcW w:w="1435" w:type="dxa"/>
            <w:vAlign w:val="center"/>
          </w:tcPr>
          <w:p w14:paraId="17BC687A" w14:textId="16EF8604" w:rsidR="00C21B25" w:rsidRPr="003A5988" w:rsidRDefault="00C21B25" w:rsidP="00C21B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21A4A5C" w14:textId="77777777" w:rsidR="00504D96" w:rsidRPr="003A5988" w:rsidRDefault="00504D96" w:rsidP="003A5988">
      <w:pPr>
        <w:jc w:val="center"/>
        <w:rPr>
          <w:rFonts w:ascii="Arial" w:hAnsi="Arial" w:cs="Arial"/>
          <w:b/>
          <w:bCs/>
        </w:rPr>
      </w:pPr>
    </w:p>
    <w:sectPr w:rsidR="00504D96" w:rsidRPr="003A59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5161" w14:textId="77777777" w:rsidR="007813BA" w:rsidRDefault="007813BA" w:rsidP="00B62C28">
      <w:pPr>
        <w:spacing w:after="0" w:line="240" w:lineRule="auto"/>
      </w:pPr>
      <w:r>
        <w:separator/>
      </w:r>
    </w:p>
  </w:endnote>
  <w:endnote w:type="continuationSeparator" w:id="0">
    <w:p w14:paraId="347CB3EF" w14:textId="77777777" w:rsidR="007813BA" w:rsidRDefault="007813BA" w:rsidP="00B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227E" w14:textId="77777777" w:rsidR="007813BA" w:rsidRDefault="007813BA" w:rsidP="00B62C28">
      <w:pPr>
        <w:spacing w:after="0" w:line="240" w:lineRule="auto"/>
      </w:pPr>
      <w:r>
        <w:separator/>
      </w:r>
    </w:p>
  </w:footnote>
  <w:footnote w:type="continuationSeparator" w:id="0">
    <w:p w14:paraId="4959C7D2" w14:textId="77777777" w:rsidR="007813BA" w:rsidRDefault="007813BA" w:rsidP="00B6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219" w14:textId="6A106DA2" w:rsidR="00B62C28" w:rsidRDefault="00B62C28" w:rsidP="00B62C28">
    <w:pPr>
      <w:tabs>
        <w:tab w:val="left" w:pos="270"/>
        <w:tab w:val="right" w:pos="10080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C</w:t>
    </w:r>
    <w:r>
      <w:rPr>
        <w:rFonts w:ascii="Arial" w:hAnsi="Arial" w:cs="Arial"/>
        <w:sz w:val="20"/>
        <w:szCs w:val="20"/>
      </w:rPr>
      <w:tab/>
    </w:r>
    <w:r w:rsidRPr="00DA0D19">
      <w:rPr>
        <w:rFonts w:ascii="Arial" w:hAnsi="Arial" w:cs="Arial"/>
        <w:sz w:val="20"/>
        <w:szCs w:val="20"/>
      </w:rPr>
      <w:t>Sonoma County Human Services Department</w:t>
    </w:r>
  </w:p>
  <w:p w14:paraId="0048BA56" w14:textId="77777777" w:rsidR="00B62C28" w:rsidRPr="00DA0D19" w:rsidRDefault="00B62C28" w:rsidP="00B62C28">
    <w:pPr>
      <w:tabs>
        <w:tab w:val="left" w:pos="270"/>
        <w:tab w:val="right" w:pos="10080"/>
      </w:tabs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Administrative Services Division</w:t>
    </w:r>
  </w:p>
  <w:p w14:paraId="01213576" w14:textId="77777777" w:rsidR="00B62C28" w:rsidRPr="00DA0D19" w:rsidRDefault="00B62C28" w:rsidP="00B62C28">
    <w:pPr>
      <w:pStyle w:val="Header"/>
      <w:tabs>
        <w:tab w:val="clear" w:pos="4680"/>
        <w:tab w:val="right" w:pos="1044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Staff Development Unit</w:t>
    </w:r>
  </w:p>
  <w:p w14:paraId="720C9687" w14:textId="77777777" w:rsidR="00B62C28" w:rsidRPr="00DA0D19" w:rsidRDefault="00B62C28" w:rsidP="00B62C28">
    <w:pPr>
      <w:pStyle w:val="Header"/>
      <w:tabs>
        <w:tab w:val="clear" w:pos="4680"/>
      </w:tabs>
      <w:jc w:val="right"/>
      <w:rPr>
        <w:rFonts w:ascii="Arial" w:hAnsi="Arial" w:cs="Arial"/>
        <w:sz w:val="20"/>
        <w:szCs w:val="20"/>
      </w:rPr>
    </w:pPr>
  </w:p>
  <w:p w14:paraId="67F7BD20" w14:textId="24A535E4" w:rsidR="00B62C28" w:rsidRPr="001E2B8D" w:rsidRDefault="00B62C28" w:rsidP="00B62C28">
    <w:pPr>
      <w:spacing w:after="1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PROPOSED RATES WORKSHEET</w:t>
    </w:r>
  </w:p>
  <w:p w14:paraId="77BF80EF" w14:textId="77777777" w:rsidR="00B62C28" w:rsidRDefault="00B62C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WYJaA2COCp5rp3ydjfXFl5FSHzKvt1e+vkt5Wlgeo0D/13TQUDJu4AGzcVSOEN/P9VHPABAEY+Ko0Ksn2zPQ==" w:salt="sVnoBlMsBaj8R1T3cqjX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28"/>
    <w:rsid w:val="001060A8"/>
    <w:rsid w:val="00132B02"/>
    <w:rsid w:val="00160A6D"/>
    <w:rsid w:val="00307E61"/>
    <w:rsid w:val="003725C7"/>
    <w:rsid w:val="00372AEA"/>
    <w:rsid w:val="003A5988"/>
    <w:rsid w:val="003F2D09"/>
    <w:rsid w:val="004048DC"/>
    <w:rsid w:val="00412DB5"/>
    <w:rsid w:val="0046274B"/>
    <w:rsid w:val="004D12C5"/>
    <w:rsid w:val="00504D96"/>
    <w:rsid w:val="00570DB5"/>
    <w:rsid w:val="00575DF9"/>
    <w:rsid w:val="00597BBF"/>
    <w:rsid w:val="005B6572"/>
    <w:rsid w:val="006C34FC"/>
    <w:rsid w:val="00721BED"/>
    <w:rsid w:val="007813BA"/>
    <w:rsid w:val="00871DA2"/>
    <w:rsid w:val="009044D8"/>
    <w:rsid w:val="009956AD"/>
    <w:rsid w:val="00B00037"/>
    <w:rsid w:val="00B15019"/>
    <w:rsid w:val="00B62C28"/>
    <w:rsid w:val="00B81DBF"/>
    <w:rsid w:val="00B823D8"/>
    <w:rsid w:val="00BE5B4B"/>
    <w:rsid w:val="00C21B25"/>
    <w:rsid w:val="00C73A85"/>
    <w:rsid w:val="00CE78E7"/>
    <w:rsid w:val="00D0421C"/>
    <w:rsid w:val="00D44CF4"/>
    <w:rsid w:val="00D46F69"/>
    <w:rsid w:val="00E56E30"/>
    <w:rsid w:val="00E942A3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56F1B"/>
  <w15:chartTrackingRefBased/>
  <w15:docId w15:val="{79C9D692-691A-410F-ABC5-0DEC202D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09"/>
  </w:style>
  <w:style w:type="paragraph" w:styleId="Heading1">
    <w:name w:val="heading 1"/>
    <w:basedOn w:val="Normal"/>
    <w:next w:val="Normal"/>
    <w:link w:val="Heading1Char"/>
    <w:uiPriority w:val="9"/>
    <w:qFormat/>
    <w:rsid w:val="00B6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6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2C28"/>
  </w:style>
  <w:style w:type="paragraph" w:styleId="Footer">
    <w:name w:val="footer"/>
    <w:basedOn w:val="Normal"/>
    <w:link w:val="FooterChar"/>
    <w:uiPriority w:val="99"/>
    <w:unhideWhenUsed/>
    <w:rsid w:val="00B6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28"/>
  </w:style>
  <w:style w:type="table" w:styleId="TableGrid">
    <w:name w:val="Table Grid"/>
    <w:basedOn w:val="TableNormal"/>
    <w:uiPriority w:val="39"/>
    <w:rsid w:val="003A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45AB-0BE1-464D-A481-25142C60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486</Words>
  <Characters>3229</Characters>
  <Application>Microsoft Office Word</Application>
  <DocSecurity>0</DocSecurity>
  <Lines>107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Graff</dc:creator>
  <cp:keywords/>
  <dc:description/>
  <cp:lastModifiedBy>Jake Harpin</cp:lastModifiedBy>
  <cp:revision>12</cp:revision>
  <dcterms:created xsi:type="dcterms:W3CDTF">2026-01-22T19:35:00Z</dcterms:created>
  <dcterms:modified xsi:type="dcterms:W3CDTF">2026-02-19T16:46:00Z</dcterms:modified>
</cp:coreProperties>
</file>